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F6" w:rsidRPr="000C6CC4" w:rsidRDefault="006332F6" w:rsidP="006332F6">
      <w:pPr>
        <w:spacing w:after="0" w:line="240" w:lineRule="auto"/>
        <w:jc w:val="both"/>
        <w:rPr>
          <w:rFonts w:ascii="Verdana" w:hAnsi="Verdana"/>
          <w:sz w:val="20"/>
          <w:szCs w:val="20"/>
          <w:lang w:val="en-GB"/>
        </w:rPr>
      </w:pPr>
    </w:p>
    <w:tbl>
      <w:tblPr>
        <w:tblStyle w:val="TableGrid"/>
        <w:tblW w:w="0" w:type="auto"/>
        <w:tblLook w:val="04A0" w:firstRow="1" w:lastRow="0" w:firstColumn="1" w:lastColumn="0" w:noHBand="0" w:noVBand="1"/>
      </w:tblPr>
      <w:tblGrid>
        <w:gridCol w:w="8522"/>
      </w:tblGrid>
      <w:tr w:rsidR="006332F6" w:rsidRPr="000C6CC4" w:rsidTr="003E6A7E">
        <w:tc>
          <w:tcPr>
            <w:tcW w:w="8522" w:type="dxa"/>
            <w:shd w:val="clear" w:color="auto" w:fill="DAEEF3" w:themeFill="accent5" w:themeFillTint="33"/>
          </w:tcPr>
          <w:p w:rsidR="006332F6" w:rsidRPr="000C6CC4" w:rsidRDefault="006332F6" w:rsidP="003E6A7E">
            <w:pPr>
              <w:jc w:val="both"/>
              <w:rPr>
                <w:rFonts w:ascii="Verdana" w:hAnsi="Verdana" w:cs="Arial"/>
                <w:b/>
                <w:bCs/>
                <w:color w:val="383232"/>
                <w:kern w:val="36"/>
                <w:sz w:val="20"/>
                <w:szCs w:val="20"/>
                <w:lang w:val="en-GB"/>
              </w:rPr>
            </w:pPr>
          </w:p>
          <w:p w:rsidR="006332F6" w:rsidRPr="000C6CC4" w:rsidRDefault="0050338C" w:rsidP="003E6A7E">
            <w:pPr>
              <w:jc w:val="both"/>
              <w:rPr>
                <w:rFonts w:ascii="Verdana" w:hAnsi="Verdana" w:cs="Arial"/>
                <w:b/>
                <w:bCs/>
                <w:color w:val="383232"/>
                <w:kern w:val="36"/>
                <w:sz w:val="20"/>
                <w:szCs w:val="20"/>
                <w:lang w:val="en-GB"/>
              </w:rPr>
            </w:pPr>
            <w:r w:rsidRPr="000C6CC4">
              <w:rPr>
                <w:rFonts w:ascii="Verdana" w:hAnsi="Verdana" w:cs="Arial"/>
                <w:b/>
                <w:bCs/>
                <w:color w:val="383232"/>
                <w:kern w:val="36"/>
                <w:sz w:val="20"/>
                <w:szCs w:val="20"/>
                <w:lang w:val="en-GB"/>
              </w:rPr>
              <w:t xml:space="preserve">Travelling to </w:t>
            </w:r>
            <w:r w:rsidR="006332F6" w:rsidRPr="000C6CC4">
              <w:rPr>
                <w:rFonts w:ascii="Verdana" w:hAnsi="Verdana" w:cs="Arial"/>
                <w:b/>
                <w:bCs/>
                <w:color w:val="383232"/>
                <w:kern w:val="36"/>
                <w:sz w:val="20"/>
                <w:szCs w:val="20"/>
                <w:lang w:val="en-GB"/>
              </w:rPr>
              <w:t>Latvia</w:t>
            </w:r>
          </w:p>
          <w:p w:rsidR="006332F6" w:rsidRPr="000C6CC4" w:rsidRDefault="006332F6" w:rsidP="003E6A7E">
            <w:pPr>
              <w:jc w:val="both"/>
              <w:rPr>
                <w:rFonts w:ascii="Verdana" w:hAnsi="Verdana" w:cs="Arial"/>
                <w:b/>
                <w:bCs/>
                <w:color w:val="383232"/>
                <w:kern w:val="36"/>
                <w:sz w:val="20"/>
                <w:szCs w:val="20"/>
                <w:lang w:val="en-GB"/>
              </w:rPr>
            </w:pPr>
          </w:p>
        </w:tc>
      </w:tr>
    </w:tbl>
    <w:p w:rsidR="000C6CC4" w:rsidRPr="000C6CC4" w:rsidRDefault="000C6CC4" w:rsidP="000C6CC4">
      <w:pPr>
        <w:pStyle w:val="NormalWeb"/>
        <w:spacing w:line="360" w:lineRule="atLeast"/>
        <w:rPr>
          <w:rFonts w:ascii="MyriadPro-Regular" w:hAnsi="MyriadPro-Regular"/>
          <w:color w:val="000000"/>
          <w:sz w:val="21"/>
          <w:szCs w:val="21"/>
          <w:lang w:val="en-GB"/>
        </w:rPr>
      </w:pPr>
      <w:r w:rsidRPr="000C6CC4">
        <w:rPr>
          <w:rFonts w:ascii="MyriadPro-Regular" w:hAnsi="MyriadPro-Regular"/>
          <w:color w:val="000000"/>
          <w:sz w:val="21"/>
          <w:szCs w:val="21"/>
          <w:lang w:val="en-GB"/>
        </w:rPr>
        <w:t xml:space="preserve">Latvia is a member of the European Union, therefore travelling to Latvia and crossing its borders is as simple as travel to any other European Union country.  Latvia </w:t>
      </w:r>
      <w:bookmarkStart w:id="0" w:name="_GoBack"/>
      <w:bookmarkEnd w:id="0"/>
      <w:r w:rsidRPr="000C6CC4">
        <w:rPr>
          <w:rFonts w:ascii="MyriadPro-Regular" w:hAnsi="MyriadPro-Regular"/>
          <w:color w:val="000000"/>
          <w:sz w:val="21"/>
          <w:szCs w:val="21"/>
          <w:lang w:val="en-GB"/>
        </w:rPr>
        <w:t xml:space="preserve">is part of the </w:t>
      </w:r>
      <w:hyperlink r:id="rId6" w:history="1">
        <w:r w:rsidRPr="000C6CC4">
          <w:rPr>
            <w:rStyle w:val="Hyperlink"/>
            <w:rFonts w:ascii="MyriadPro-Regular" w:eastAsiaTheme="majorEastAsia" w:hAnsi="MyriadPro-Regular"/>
            <w:sz w:val="21"/>
            <w:szCs w:val="21"/>
            <w:lang w:val="en-GB"/>
          </w:rPr>
          <w:t>Schengen Area</w:t>
        </w:r>
      </w:hyperlink>
      <w:r w:rsidRPr="000C6CC4">
        <w:rPr>
          <w:rFonts w:ascii="MyriadPro-Regular" w:hAnsi="MyriadPro-Regular"/>
          <w:color w:val="000000"/>
          <w:sz w:val="21"/>
          <w:szCs w:val="21"/>
          <w:lang w:val="en-GB"/>
        </w:rPr>
        <w:t xml:space="preserve"> and that’s why people travelling to Latvia from the Schengen Area does not have to go through border controls. Bear in mind, however, that when crossing into Russia and Belarus, border controls are in place.</w:t>
      </w:r>
    </w:p>
    <w:p w:rsidR="000C6CC4" w:rsidRPr="000C6CC4" w:rsidRDefault="000C6CC4" w:rsidP="000C6CC4">
      <w:pPr>
        <w:pStyle w:val="Heading3"/>
        <w:rPr>
          <w:rFonts w:ascii="MyriadPro-Regular" w:hAnsi="MyriadPro-Regular"/>
          <w:sz w:val="29"/>
          <w:szCs w:val="29"/>
          <w:lang w:val="en-GB"/>
        </w:rPr>
      </w:pPr>
      <w:r w:rsidRPr="000C6CC4">
        <w:rPr>
          <w:rFonts w:ascii="MyriadPro-Regular" w:hAnsi="MyriadPro-Regular"/>
          <w:sz w:val="29"/>
          <w:szCs w:val="29"/>
          <w:lang w:val="en-GB"/>
        </w:rPr>
        <w:t> </w:t>
      </w:r>
      <w:r w:rsidRPr="000C6CC4">
        <w:rPr>
          <w:rStyle w:val="mceitemanchor"/>
          <w:lang w:val="en-GB"/>
        </w:rPr>
        <w:t>﻿</w:t>
      </w:r>
    </w:p>
    <w:p w:rsidR="000C6CC4" w:rsidRPr="000C6CC4" w:rsidRDefault="000C6CC4" w:rsidP="000C6CC4">
      <w:pPr>
        <w:pStyle w:val="NormalWeb"/>
        <w:spacing w:line="360" w:lineRule="atLeast"/>
        <w:rPr>
          <w:rFonts w:ascii="MyriadPro-Regular" w:hAnsi="MyriadPro-Regular"/>
          <w:color w:val="000000"/>
          <w:sz w:val="21"/>
          <w:szCs w:val="21"/>
          <w:lang w:val="en-GB"/>
        </w:rPr>
      </w:pPr>
      <w:r w:rsidRPr="000C6CC4">
        <w:rPr>
          <w:rStyle w:val="Strong"/>
          <w:rFonts w:ascii="MyriadPro-Regular" w:hAnsi="MyriadPro-Regular"/>
          <w:color w:val="000000"/>
          <w:sz w:val="21"/>
          <w:szCs w:val="21"/>
          <w:lang w:val="en-GB"/>
        </w:rPr>
        <w:t xml:space="preserve">Visa-free travel </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r w:rsidRPr="000C6CC4">
        <w:rPr>
          <w:rFonts w:ascii="MyriadPro-Regular" w:hAnsi="MyriadPro-Regular"/>
          <w:color w:val="000000"/>
          <w:sz w:val="21"/>
          <w:szCs w:val="21"/>
          <w:lang w:val="en-GB"/>
        </w:rPr>
        <w:t>Citizens from specific countries and these include all European Union member states, as well as, Norway, Iceland, Liechtenstein, Switzerland, the United States of America, Canada, Australia, Israel, Japan, Korea, Hong Kong, Brazil do not require a visa to visit Latvia.</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hyperlink r:id="rId7" w:history="1">
        <w:r w:rsidRPr="000C6CC4">
          <w:rPr>
            <w:rStyle w:val="Hyperlink"/>
            <w:rFonts w:ascii="MyriadPro-Regular" w:eastAsiaTheme="majorEastAsia" w:hAnsi="MyriadPro-Regular"/>
            <w:sz w:val="21"/>
            <w:szCs w:val="21"/>
            <w:lang w:val="en-GB"/>
          </w:rPr>
          <w:t>Please find here the complete list of the countries whose citizens may enter Latvia without a visa</w:t>
        </w:r>
      </w:hyperlink>
      <w:r w:rsidRPr="000C6CC4">
        <w:rPr>
          <w:rFonts w:ascii="MyriadPro-Regular" w:hAnsi="MyriadPro-Regular"/>
          <w:color w:val="000000"/>
          <w:sz w:val="21"/>
          <w:szCs w:val="21"/>
          <w:lang w:val="en-GB"/>
        </w:rPr>
        <w:t>.</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r w:rsidRPr="000C6CC4">
        <w:rPr>
          <w:rFonts w:ascii="MyriadPro-Regular" w:hAnsi="MyriadPro-Regular"/>
          <w:color w:val="000000"/>
          <w:sz w:val="21"/>
          <w:szCs w:val="21"/>
          <w:lang w:val="en-GB"/>
        </w:rPr>
        <w:t>Visa-free travellers may stay in Latvia for up to 90 days within a period of 180 days.</w:t>
      </w:r>
    </w:p>
    <w:p w:rsidR="000C6CC4" w:rsidRPr="000C6CC4" w:rsidRDefault="000C6CC4" w:rsidP="000C6CC4">
      <w:pPr>
        <w:pStyle w:val="NormalWeb"/>
        <w:spacing w:line="360" w:lineRule="atLeast"/>
        <w:rPr>
          <w:rFonts w:ascii="MyriadPro-Regular" w:hAnsi="MyriadPro-Regular"/>
          <w:color w:val="000000"/>
          <w:sz w:val="21"/>
          <w:szCs w:val="21"/>
          <w:lang w:val="en-GB"/>
        </w:rPr>
      </w:pPr>
      <w:r w:rsidRPr="000C6CC4">
        <w:rPr>
          <w:rStyle w:val="Strong"/>
          <w:rFonts w:ascii="MyriadPro-Regular" w:hAnsi="MyriadPro-Regular"/>
          <w:color w:val="000000"/>
          <w:sz w:val="21"/>
          <w:szCs w:val="21"/>
          <w:lang w:val="en-GB"/>
        </w:rPr>
        <w:t xml:space="preserve">No border controls for travelling in the Schengen Area </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r w:rsidRPr="000C6CC4">
        <w:rPr>
          <w:rFonts w:ascii="MyriadPro-Regular" w:hAnsi="MyriadPro-Regular"/>
          <w:color w:val="000000"/>
          <w:sz w:val="21"/>
          <w:szCs w:val="21"/>
          <w:lang w:val="en-GB"/>
        </w:rPr>
        <w:t xml:space="preserve">Latvia is part of the </w:t>
      </w:r>
      <w:hyperlink r:id="rId8" w:history="1">
        <w:r w:rsidRPr="000C6CC4">
          <w:rPr>
            <w:rStyle w:val="Hyperlink"/>
            <w:rFonts w:ascii="MyriadPro-Regular" w:eastAsiaTheme="majorEastAsia" w:hAnsi="MyriadPro-Regular"/>
            <w:sz w:val="21"/>
            <w:szCs w:val="21"/>
            <w:lang w:val="en-GB"/>
          </w:rPr>
          <w:t>Schengen Area</w:t>
        </w:r>
      </w:hyperlink>
      <w:r w:rsidRPr="000C6CC4">
        <w:rPr>
          <w:rFonts w:ascii="MyriadPro-Regular" w:hAnsi="MyriadPro-Regular"/>
          <w:color w:val="000000"/>
          <w:sz w:val="21"/>
          <w:szCs w:val="21"/>
          <w:lang w:val="en-GB"/>
        </w:rPr>
        <w:t>. There are no border controls on the internal borders between Schengen countries, therefore citizens of the European Union and third-country nationals are free to travel within the Schengen Area. If you arrive in Latvia by car or bus from Lithuania or Estonia, or if you travel by ferry or plane from the Schengen countries, you will not have to go through border controls. However, if emergency situations should arise, Schengen member states do have the capacity to temporarily reintroduce border controls for a certain period of time. So please check on such information and verify the conditions and circumstances before beginning your trip.</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r w:rsidRPr="000C6CC4">
        <w:rPr>
          <w:rFonts w:ascii="MyriadPro-Regular" w:hAnsi="MyriadPro-Regular"/>
          <w:color w:val="000000"/>
          <w:sz w:val="21"/>
          <w:szCs w:val="21"/>
          <w:lang w:val="en-GB"/>
        </w:rPr>
        <w:t>While under normal conditions, there are indeed no border controls, this does not mean you can leave your travel document behind. While travelling in the Schengen Area, you must have your passport along, and it is this document that can be used as proof of your identity. Bear in mind that drivers’ licenses and bankcards are not deemed to be valid travel documents and such documents are also not considered valid for purposes of personal identification.</w:t>
      </w:r>
    </w:p>
    <w:p w:rsidR="000C6CC4" w:rsidRPr="000C6CC4" w:rsidRDefault="000C6CC4" w:rsidP="000C6CC4">
      <w:pPr>
        <w:pStyle w:val="Heading3"/>
        <w:rPr>
          <w:rFonts w:ascii="MyriadPro-Regular" w:hAnsi="MyriadPro-Regular"/>
          <w:sz w:val="29"/>
          <w:szCs w:val="29"/>
          <w:lang w:val="en-GB"/>
        </w:rPr>
      </w:pPr>
      <w:r w:rsidRPr="000C6CC4">
        <w:rPr>
          <w:rStyle w:val="mceitemanchor"/>
          <w:lang w:val="en-GB"/>
        </w:rPr>
        <w:t>﻿</w:t>
      </w:r>
    </w:p>
    <w:p w:rsidR="000C6CC4" w:rsidRPr="000C6CC4" w:rsidRDefault="000C6CC4" w:rsidP="000C6CC4">
      <w:pPr>
        <w:pStyle w:val="NormalWeb"/>
        <w:spacing w:line="360" w:lineRule="atLeast"/>
        <w:rPr>
          <w:rFonts w:ascii="MyriadPro-Regular" w:hAnsi="MyriadPro-Regular"/>
          <w:color w:val="000000"/>
          <w:sz w:val="21"/>
          <w:szCs w:val="21"/>
          <w:lang w:val="en-GB"/>
        </w:rPr>
      </w:pPr>
      <w:r w:rsidRPr="000C6CC4">
        <w:rPr>
          <w:rStyle w:val="Strong"/>
          <w:rFonts w:ascii="MyriadPro-Regular" w:hAnsi="MyriadPro-Regular"/>
          <w:color w:val="000000"/>
          <w:sz w:val="21"/>
          <w:szCs w:val="21"/>
          <w:lang w:val="en-GB"/>
        </w:rPr>
        <w:lastRenderedPageBreak/>
        <w:t>Visas to Latvia</w:t>
      </w:r>
    </w:p>
    <w:p w:rsidR="000C6CC4" w:rsidRPr="000C6CC4" w:rsidRDefault="000C6CC4" w:rsidP="000C6CC4">
      <w:pPr>
        <w:pStyle w:val="NormalWeb"/>
        <w:spacing w:line="360" w:lineRule="atLeast"/>
        <w:rPr>
          <w:rFonts w:ascii="MyriadPro-Regular" w:hAnsi="MyriadPro-Regular"/>
          <w:color w:val="000000"/>
          <w:sz w:val="21"/>
          <w:szCs w:val="21"/>
          <w:lang w:val="en-GB"/>
        </w:rPr>
      </w:pPr>
      <w:r w:rsidRPr="000C6CC4">
        <w:rPr>
          <w:rFonts w:ascii="MyriadPro-Regular" w:hAnsi="MyriadPro-Regular"/>
          <w:color w:val="000000"/>
          <w:sz w:val="21"/>
          <w:szCs w:val="21"/>
          <w:lang w:val="en-GB"/>
        </w:rPr>
        <w:t xml:space="preserve">Citizens of Russia, Belarus, Ukraine, Armenia, Azerbaijan, Kazakhstan, Uzbekistan, China and other countries, not included on the </w:t>
      </w:r>
      <w:hyperlink r:id="rId9" w:history="1">
        <w:r w:rsidRPr="000C6CC4">
          <w:rPr>
            <w:rStyle w:val="Hyperlink"/>
            <w:rFonts w:ascii="MyriadPro-Regular" w:eastAsiaTheme="majorEastAsia" w:hAnsi="MyriadPro-Regular"/>
            <w:sz w:val="21"/>
            <w:szCs w:val="21"/>
            <w:lang w:val="en-GB"/>
          </w:rPr>
          <w:t>visa-free list</w:t>
        </w:r>
      </w:hyperlink>
      <w:r w:rsidRPr="000C6CC4">
        <w:rPr>
          <w:rFonts w:ascii="MyriadPro-Regular" w:hAnsi="MyriadPro-Regular"/>
          <w:color w:val="000000"/>
          <w:sz w:val="21"/>
          <w:szCs w:val="21"/>
          <w:lang w:val="en-GB"/>
        </w:rPr>
        <w:t>, require a visa to travel to Latvia.</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r w:rsidRPr="000C6CC4">
        <w:rPr>
          <w:rFonts w:ascii="MyriadPro-Regular" w:hAnsi="MyriadPro-Regular"/>
          <w:color w:val="000000"/>
          <w:sz w:val="21"/>
          <w:szCs w:val="21"/>
          <w:lang w:val="en-GB"/>
        </w:rPr>
        <w:t xml:space="preserve">Tourists travel to Latvia on a </w:t>
      </w:r>
      <w:hyperlink r:id="rId10" w:history="1">
        <w:r w:rsidRPr="000C6CC4">
          <w:rPr>
            <w:rStyle w:val="Hyperlink"/>
            <w:rFonts w:ascii="MyriadPro-Regular" w:eastAsiaTheme="majorEastAsia" w:hAnsi="MyriadPro-Regular"/>
            <w:sz w:val="21"/>
            <w:szCs w:val="21"/>
            <w:lang w:val="en-GB"/>
          </w:rPr>
          <w:t>Schengen visa</w:t>
        </w:r>
      </w:hyperlink>
      <w:r w:rsidRPr="000C6CC4">
        <w:rPr>
          <w:rFonts w:ascii="MyriadPro-Regular" w:hAnsi="MyriadPro-Regular"/>
          <w:color w:val="000000"/>
          <w:sz w:val="21"/>
          <w:szCs w:val="21"/>
          <w:lang w:val="en-GB"/>
        </w:rPr>
        <w:t xml:space="preserve">, which is valid for staying in Latvia as well as in the other </w:t>
      </w:r>
      <w:hyperlink r:id="rId11" w:history="1">
        <w:r w:rsidRPr="000C6CC4">
          <w:rPr>
            <w:rStyle w:val="Hyperlink"/>
            <w:rFonts w:ascii="MyriadPro-Regular" w:eastAsiaTheme="majorEastAsia" w:hAnsi="MyriadPro-Regular"/>
            <w:sz w:val="21"/>
            <w:szCs w:val="21"/>
            <w:lang w:val="en-GB"/>
          </w:rPr>
          <w:t>Schengen Area member states</w:t>
        </w:r>
      </w:hyperlink>
      <w:r w:rsidRPr="000C6CC4">
        <w:rPr>
          <w:rFonts w:ascii="MyriadPro-Regular" w:hAnsi="MyriadPro-Regular"/>
          <w:color w:val="000000"/>
          <w:sz w:val="21"/>
          <w:szCs w:val="21"/>
          <w:lang w:val="en-GB"/>
        </w:rPr>
        <w:t>. Passport control on the border is only done once the person crosses into the Schengen Area. If the person has been issued a visa for a short-stay visit to a Schengen country, the maximum duration of the intended stay is 90 days within a 180-day period. If the person needs to stay in Latvia for longer than 90 days, he or she has to apply for a long-stay visa or a residence permit.</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r w:rsidRPr="000C6CC4">
        <w:rPr>
          <w:rFonts w:ascii="MyriadPro-Regular" w:hAnsi="MyriadPro-Regular"/>
          <w:color w:val="000000"/>
          <w:sz w:val="21"/>
          <w:szCs w:val="21"/>
          <w:lang w:val="en-GB"/>
        </w:rPr>
        <w:t>If you wish to visit several Schengen countries, you do not have to apply for a visa in each of the given Schengen country’s diplomatic missions. An application for a visa has to be submitted only to the mission of that country that is your main destination. If there is no main destination, you have to turn to a mission of the country whose external border will be the first to be crossed in order to enter the Schengen Area.</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r w:rsidRPr="000C6CC4">
        <w:rPr>
          <w:rFonts w:ascii="MyriadPro-Regular" w:hAnsi="MyriadPro-Regular"/>
          <w:color w:val="000000"/>
          <w:sz w:val="21"/>
          <w:szCs w:val="21"/>
          <w:lang w:val="en-GB"/>
        </w:rPr>
        <w:t>If a third-country national needs to enter a Schengen member state but there are circumstances forbidding him to have a uniform visa valid in all Schengen member states, he or she may be granted a visa with a limited territorial validity. It means that visa is not valid for entering all Schengen member states, but only those indicated on the visa.</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hyperlink r:id="rId12" w:history="1">
        <w:r w:rsidRPr="000C6CC4">
          <w:rPr>
            <w:rStyle w:val="Hyperlink"/>
            <w:rFonts w:ascii="MyriadPro-Regular" w:eastAsiaTheme="majorEastAsia" w:hAnsi="MyriadPro-Regular"/>
            <w:sz w:val="21"/>
            <w:szCs w:val="21"/>
            <w:lang w:val="en-GB"/>
          </w:rPr>
          <w:t>Frequently asked questions about visas</w:t>
        </w:r>
      </w:hyperlink>
    </w:p>
    <w:p w:rsidR="000C6CC4" w:rsidRPr="000C6CC4" w:rsidRDefault="000C6CC4" w:rsidP="000C6CC4">
      <w:pPr>
        <w:pStyle w:val="NormalWeb"/>
        <w:spacing w:line="360" w:lineRule="atLeast"/>
        <w:rPr>
          <w:rFonts w:ascii="MyriadPro-Regular" w:hAnsi="MyriadPro-Regular"/>
          <w:color w:val="000000"/>
          <w:sz w:val="21"/>
          <w:szCs w:val="21"/>
          <w:lang w:val="en-GB"/>
        </w:rPr>
      </w:pPr>
      <w:r w:rsidRPr="000C6CC4">
        <w:rPr>
          <w:rStyle w:val="Strong"/>
          <w:rFonts w:ascii="MyriadPro-Regular" w:hAnsi="MyriadPro-Regular"/>
          <w:color w:val="000000"/>
          <w:sz w:val="21"/>
          <w:szCs w:val="21"/>
          <w:lang w:val="en-GB"/>
        </w:rPr>
        <w:t xml:space="preserve">Applying for a visa </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r w:rsidRPr="000C6CC4">
        <w:rPr>
          <w:rFonts w:ascii="MyriadPro-Regular" w:hAnsi="MyriadPro-Regular"/>
          <w:noProof/>
          <w:color w:val="3570B4"/>
          <w:sz w:val="21"/>
          <w:szCs w:val="21"/>
          <w:lang w:val="en-GB"/>
        </w:rPr>
        <w:drawing>
          <wp:inline distT="0" distB="0" distL="0" distR="0" wp14:anchorId="4F7F1C08" wp14:editId="5A634B40">
            <wp:extent cx="768350" cy="1007110"/>
            <wp:effectExtent l="0" t="0" r="0" b="2540"/>
            <wp:docPr id="1" name="Picture 1" descr="http://www.mfa.gov.lv/images/archive/e-anketa.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a.gov.lv/images/archive/e-anketa.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350" cy="1007110"/>
                    </a:xfrm>
                    <a:prstGeom prst="rect">
                      <a:avLst/>
                    </a:prstGeom>
                    <a:noFill/>
                    <a:ln>
                      <a:noFill/>
                    </a:ln>
                  </pic:spPr>
                </pic:pic>
              </a:graphicData>
            </a:graphic>
          </wp:inline>
        </w:drawing>
      </w:r>
      <w:r w:rsidRPr="000C6CC4">
        <w:rPr>
          <w:rFonts w:ascii="MyriadPro-Regular" w:hAnsi="MyriadPro-Regular"/>
          <w:color w:val="000000"/>
          <w:sz w:val="21"/>
          <w:szCs w:val="21"/>
          <w:lang w:val="en-GB"/>
        </w:rPr>
        <w:t>To apply for a visa, the following documentation must be submitted: a passport, a visa application form, a photograph, medical insurance policy valid for travel to the entire Schengen Area, documents justifying purpose of entry and other documents which are applicable and pertinent. For further information about the documents required and procedures when applying for a visa, contact a diplomatic mission of Latvia, where you are intending to receive your visa or the Ministry of Foreign Affairs of Latvia.</w:t>
      </w:r>
    </w:p>
    <w:p w:rsidR="000C6CC4" w:rsidRPr="000C6CC4" w:rsidRDefault="000C6CC4" w:rsidP="000C6CC4">
      <w:pPr>
        <w:pStyle w:val="NormalWeb"/>
        <w:spacing w:line="360" w:lineRule="atLeast"/>
        <w:rPr>
          <w:rFonts w:ascii="MyriadPro-Regular" w:hAnsi="MyriadPro-Regular"/>
          <w:color w:val="000000"/>
          <w:sz w:val="21"/>
          <w:szCs w:val="21"/>
          <w:lang w:val="en-GB"/>
        </w:rPr>
      </w:pPr>
      <w:hyperlink r:id="rId15" w:history="1">
        <w:r w:rsidRPr="000C6CC4">
          <w:rPr>
            <w:rStyle w:val="Hyperlink"/>
            <w:rFonts w:ascii="MyriadPro-Regular" w:eastAsiaTheme="majorEastAsia" w:hAnsi="MyriadPro-Regular"/>
            <w:sz w:val="21"/>
            <w:szCs w:val="21"/>
            <w:lang w:val="en-GB"/>
          </w:rPr>
          <w:t>Please find here more information about visas to Latvia</w:t>
        </w:r>
      </w:hyperlink>
      <w:r w:rsidRPr="000C6CC4">
        <w:rPr>
          <w:rFonts w:ascii="MyriadPro-Regular" w:hAnsi="MyriadPro-Regular"/>
          <w:color w:val="000000"/>
          <w:sz w:val="21"/>
          <w:szCs w:val="21"/>
          <w:lang w:val="en-GB"/>
        </w:rPr>
        <w:t>. </w:t>
      </w:r>
    </w:p>
    <w:p w:rsidR="000C6CC4" w:rsidRPr="000C6CC4" w:rsidRDefault="000C6CC4" w:rsidP="000C6CC4">
      <w:pPr>
        <w:pStyle w:val="Heading3"/>
        <w:rPr>
          <w:rFonts w:ascii="MyriadPro-Regular" w:hAnsi="MyriadPro-Regular"/>
          <w:sz w:val="29"/>
          <w:szCs w:val="29"/>
          <w:lang w:val="en-GB"/>
        </w:rPr>
      </w:pPr>
      <w:r w:rsidRPr="000C6CC4">
        <w:rPr>
          <w:rStyle w:val="mceitemanchor"/>
          <w:lang w:val="en-GB"/>
        </w:rPr>
        <w:lastRenderedPageBreak/>
        <w:t>﻿</w:t>
      </w:r>
    </w:p>
    <w:p w:rsidR="000C6CC4" w:rsidRPr="000C6CC4" w:rsidRDefault="000C6CC4" w:rsidP="000C6CC4">
      <w:pPr>
        <w:pStyle w:val="NormalWeb"/>
        <w:spacing w:line="360" w:lineRule="atLeast"/>
        <w:rPr>
          <w:rFonts w:ascii="MyriadPro-Regular" w:hAnsi="MyriadPro-Regular"/>
          <w:color w:val="000000"/>
          <w:sz w:val="21"/>
          <w:szCs w:val="21"/>
          <w:lang w:val="en-GB"/>
        </w:rPr>
      </w:pPr>
      <w:r w:rsidRPr="000C6CC4">
        <w:rPr>
          <w:rStyle w:val="Strong"/>
          <w:rFonts w:ascii="MyriadPro-Regular" w:hAnsi="MyriadPro-Regular"/>
          <w:color w:val="000000"/>
          <w:sz w:val="21"/>
          <w:szCs w:val="21"/>
          <w:lang w:val="en-GB"/>
        </w:rPr>
        <w:t xml:space="preserve">Customs procedures </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r w:rsidRPr="000C6CC4">
        <w:rPr>
          <w:rFonts w:ascii="MyriadPro-Regular" w:hAnsi="MyriadPro-Regular"/>
          <w:color w:val="000000"/>
          <w:sz w:val="21"/>
          <w:szCs w:val="21"/>
          <w:lang w:val="en-GB"/>
        </w:rPr>
        <w:t>Travelers in the European Union need to take into consideration that there are maximum amount restrictions on several kinds of goods that may be brought into a European Union member state – tobacco products, alcoholic beverages, coffee, and fuel. Should the maximum limit be exceeded, the goods have to be declared and the applicable excise tax on the goods exceeding the specified limit must be paid.</w:t>
      </w:r>
    </w:p>
    <w:p w:rsidR="000C6CC4" w:rsidRPr="000C6CC4" w:rsidRDefault="000C6CC4" w:rsidP="000C6CC4">
      <w:pPr>
        <w:pStyle w:val="NormalWeb"/>
        <w:spacing w:line="360" w:lineRule="atLeast"/>
        <w:jc w:val="both"/>
        <w:rPr>
          <w:rFonts w:ascii="MyriadPro-Regular" w:hAnsi="MyriadPro-Regular"/>
          <w:color w:val="000000"/>
          <w:sz w:val="21"/>
          <w:szCs w:val="21"/>
          <w:lang w:val="en-GB"/>
        </w:rPr>
      </w:pPr>
      <w:r w:rsidRPr="000C6CC4">
        <w:rPr>
          <w:rFonts w:ascii="MyriadPro-Regular" w:hAnsi="MyriadPro-Regular"/>
          <w:color w:val="000000"/>
          <w:sz w:val="21"/>
          <w:szCs w:val="21"/>
          <w:lang w:val="en-GB"/>
        </w:rPr>
        <w:t>If you are travelling to the European Union from a third country, different restrictions apply. Persons arriving in the European Union, including in Latvia, have to observe stringent rules concerning food products that they may carry. Meat and meat products, milk and dairy products may not be brought into the European Union for one’s own consumption.</w:t>
      </w:r>
    </w:p>
    <w:p w:rsidR="000C6CC4" w:rsidRPr="000C6CC4" w:rsidRDefault="000C6CC4" w:rsidP="000C6CC4">
      <w:pPr>
        <w:pStyle w:val="NormalWeb"/>
        <w:spacing w:line="360" w:lineRule="atLeast"/>
        <w:rPr>
          <w:rFonts w:ascii="MyriadPro-Regular" w:hAnsi="MyriadPro-Regular"/>
          <w:color w:val="000000"/>
          <w:sz w:val="21"/>
          <w:szCs w:val="21"/>
          <w:lang w:val="en-GB"/>
        </w:rPr>
      </w:pPr>
      <w:hyperlink r:id="rId16" w:history="1">
        <w:r w:rsidRPr="000C6CC4">
          <w:rPr>
            <w:rStyle w:val="Hyperlink"/>
            <w:rFonts w:ascii="MyriadPro-Regular" w:eastAsiaTheme="majorEastAsia" w:hAnsi="MyriadPro-Regular"/>
            <w:sz w:val="21"/>
            <w:szCs w:val="21"/>
            <w:lang w:val="en-GB"/>
          </w:rPr>
          <w:t>Please find more information here</w:t>
        </w:r>
      </w:hyperlink>
    </w:p>
    <w:p w:rsidR="000C6CC4" w:rsidRPr="000C6CC4" w:rsidRDefault="000C6CC4" w:rsidP="000C6CC4">
      <w:pPr>
        <w:pStyle w:val="Heading3"/>
        <w:rPr>
          <w:rFonts w:ascii="MyriadPro-Regular" w:hAnsi="MyriadPro-Regular"/>
          <w:sz w:val="29"/>
          <w:szCs w:val="29"/>
          <w:lang w:val="en-GB"/>
        </w:rPr>
      </w:pPr>
      <w:r w:rsidRPr="000C6CC4">
        <w:rPr>
          <w:rStyle w:val="mceitemanchor"/>
          <w:lang w:val="en-GB"/>
        </w:rPr>
        <w:t>﻿</w:t>
      </w:r>
    </w:p>
    <w:p w:rsidR="000C6CC4" w:rsidRPr="000C6CC4" w:rsidRDefault="000C6CC4" w:rsidP="000C6CC4">
      <w:pPr>
        <w:pStyle w:val="NormalWeb"/>
        <w:spacing w:line="360" w:lineRule="atLeast"/>
        <w:rPr>
          <w:rFonts w:ascii="MyriadPro-Regular" w:hAnsi="MyriadPro-Regular"/>
          <w:color w:val="000000"/>
          <w:sz w:val="21"/>
          <w:szCs w:val="21"/>
          <w:lang w:val="en-GB"/>
        </w:rPr>
      </w:pPr>
      <w:r w:rsidRPr="000C6CC4">
        <w:rPr>
          <w:rStyle w:val="Strong"/>
          <w:rFonts w:ascii="MyriadPro-Regular" w:hAnsi="MyriadPro-Regular"/>
          <w:color w:val="000000"/>
          <w:sz w:val="21"/>
          <w:szCs w:val="21"/>
          <w:lang w:val="en-GB"/>
        </w:rPr>
        <w:t>Know before you go!</w:t>
      </w:r>
    </w:p>
    <w:p w:rsidR="000C6CC4" w:rsidRPr="000C6CC4" w:rsidRDefault="000C6CC4" w:rsidP="000C6CC4">
      <w:pPr>
        <w:pStyle w:val="NormalWeb"/>
        <w:spacing w:line="360" w:lineRule="atLeast"/>
        <w:rPr>
          <w:rFonts w:ascii="MyriadPro-Regular" w:hAnsi="MyriadPro-Regular"/>
          <w:color w:val="000000"/>
          <w:sz w:val="21"/>
          <w:szCs w:val="21"/>
          <w:lang w:val="en-GB"/>
        </w:rPr>
      </w:pPr>
      <w:r w:rsidRPr="000C6CC4">
        <w:rPr>
          <w:rFonts w:ascii="MyriadPro-Regular" w:hAnsi="MyriadPro-Regular"/>
          <w:color w:val="000000"/>
          <w:sz w:val="21"/>
          <w:szCs w:val="21"/>
          <w:lang w:val="en-GB"/>
        </w:rPr>
        <w:t>In case of an emergency while travelling in the Schengen Area,</w:t>
      </w:r>
      <w:r w:rsidR="00801BBA">
        <w:rPr>
          <w:rFonts w:ascii="MyriadPro-Regular" w:hAnsi="MyriadPro-Regular"/>
          <w:color w:val="000000"/>
          <w:sz w:val="21"/>
          <w:szCs w:val="21"/>
          <w:lang w:val="en-GB"/>
        </w:rPr>
        <w:t xml:space="preserve"> </w:t>
      </w:r>
      <w:r w:rsidRPr="000C6CC4">
        <w:rPr>
          <w:rFonts w:ascii="MyriadPro-Regular" w:hAnsi="MyriadPro-Regular"/>
          <w:color w:val="000000"/>
          <w:sz w:val="21"/>
          <w:szCs w:val="21"/>
          <w:lang w:val="en-GB"/>
        </w:rPr>
        <w:t>dial 112</w:t>
      </w:r>
    </w:p>
    <w:p w:rsidR="000C6CC4" w:rsidRPr="000C6CC4" w:rsidRDefault="000C6CC4" w:rsidP="000C6CC4">
      <w:pPr>
        <w:pStyle w:val="NormalWeb"/>
        <w:spacing w:line="360" w:lineRule="atLeast"/>
        <w:rPr>
          <w:rFonts w:ascii="MyriadPro-Regular" w:hAnsi="MyriadPro-Regular"/>
          <w:color w:val="000000"/>
          <w:sz w:val="21"/>
          <w:szCs w:val="21"/>
          <w:lang w:val="en-GB"/>
        </w:rPr>
      </w:pPr>
      <w:hyperlink r:id="rId17" w:history="1">
        <w:r w:rsidRPr="000C6CC4">
          <w:rPr>
            <w:rStyle w:val="Hyperlink"/>
            <w:rFonts w:ascii="MyriadPro-Regular" w:eastAsiaTheme="majorEastAsia" w:hAnsi="MyriadPro-Regular"/>
            <w:sz w:val="21"/>
            <w:szCs w:val="21"/>
            <w:lang w:val="en-GB"/>
          </w:rPr>
          <w:t>Recommendations for your well-being while visiting Latvia</w:t>
        </w:r>
      </w:hyperlink>
    </w:p>
    <w:p w:rsidR="006332F6" w:rsidRPr="000C6CC4" w:rsidRDefault="006332F6" w:rsidP="006332F6">
      <w:pPr>
        <w:spacing w:after="0" w:line="240" w:lineRule="auto"/>
        <w:jc w:val="both"/>
        <w:rPr>
          <w:rFonts w:ascii="Verdana" w:hAnsi="Verdana" w:cs="Arial"/>
          <w:b/>
          <w:bCs/>
          <w:color w:val="383232"/>
          <w:kern w:val="36"/>
          <w:sz w:val="20"/>
          <w:szCs w:val="20"/>
          <w:lang w:val="en-GB"/>
        </w:rPr>
      </w:pPr>
    </w:p>
    <w:sectPr w:rsidR="006332F6" w:rsidRPr="000C6C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yriadPro-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A27DF"/>
    <w:multiLevelType w:val="multilevel"/>
    <w:tmpl w:val="91A01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F6"/>
    <w:rsid w:val="0000083F"/>
    <w:rsid w:val="00002E03"/>
    <w:rsid w:val="00020B0F"/>
    <w:rsid w:val="00025DAF"/>
    <w:rsid w:val="000316C5"/>
    <w:rsid w:val="000425DB"/>
    <w:rsid w:val="000473FD"/>
    <w:rsid w:val="0005021C"/>
    <w:rsid w:val="0005039F"/>
    <w:rsid w:val="00052030"/>
    <w:rsid w:val="00052888"/>
    <w:rsid w:val="00052AAE"/>
    <w:rsid w:val="000661F5"/>
    <w:rsid w:val="0006657D"/>
    <w:rsid w:val="00071B71"/>
    <w:rsid w:val="0007274F"/>
    <w:rsid w:val="000733B0"/>
    <w:rsid w:val="00086E1E"/>
    <w:rsid w:val="00092F58"/>
    <w:rsid w:val="000A127C"/>
    <w:rsid w:val="000A38D8"/>
    <w:rsid w:val="000C4BB6"/>
    <w:rsid w:val="000C561B"/>
    <w:rsid w:val="000C6CC4"/>
    <w:rsid w:val="000D2353"/>
    <w:rsid w:val="000D3025"/>
    <w:rsid w:val="000E19C8"/>
    <w:rsid w:val="000F32E5"/>
    <w:rsid w:val="0010283D"/>
    <w:rsid w:val="00106ED2"/>
    <w:rsid w:val="00112B9C"/>
    <w:rsid w:val="00116CCB"/>
    <w:rsid w:val="00117C31"/>
    <w:rsid w:val="001457CF"/>
    <w:rsid w:val="00146D34"/>
    <w:rsid w:val="00157D02"/>
    <w:rsid w:val="00160C46"/>
    <w:rsid w:val="001664B2"/>
    <w:rsid w:val="00167864"/>
    <w:rsid w:val="00177D11"/>
    <w:rsid w:val="001948B7"/>
    <w:rsid w:val="001A074C"/>
    <w:rsid w:val="001B0AFA"/>
    <w:rsid w:val="001B1E5A"/>
    <w:rsid w:val="001B3151"/>
    <w:rsid w:val="001D5A0F"/>
    <w:rsid w:val="001E2BDE"/>
    <w:rsid w:val="001E4C89"/>
    <w:rsid w:val="001F28EB"/>
    <w:rsid w:val="001F5FB0"/>
    <w:rsid w:val="00204526"/>
    <w:rsid w:val="00216AF8"/>
    <w:rsid w:val="002225F4"/>
    <w:rsid w:val="0023513B"/>
    <w:rsid w:val="0023543D"/>
    <w:rsid w:val="002367AA"/>
    <w:rsid w:val="00237D7D"/>
    <w:rsid w:val="00263BE3"/>
    <w:rsid w:val="00263CC7"/>
    <w:rsid w:val="00281473"/>
    <w:rsid w:val="00291D64"/>
    <w:rsid w:val="002922FA"/>
    <w:rsid w:val="002954CA"/>
    <w:rsid w:val="002C0C17"/>
    <w:rsid w:val="002D13A9"/>
    <w:rsid w:val="002D57BB"/>
    <w:rsid w:val="002D75EF"/>
    <w:rsid w:val="002E5A85"/>
    <w:rsid w:val="002F25B9"/>
    <w:rsid w:val="00312D1C"/>
    <w:rsid w:val="00315A7B"/>
    <w:rsid w:val="00320076"/>
    <w:rsid w:val="003224C9"/>
    <w:rsid w:val="003322BA"/>
    <w:rsid w:val="00335E11"/>
    <w:rsid w:val="00336104"/>
    <w:rsid w:val="0034420B"/>
    <w:rsid w:val="00356FC6"/>
    <w:rsid w:val="00367A89"/>
    <w:rsid w:val="00374CB9"/>
    <w:rsid w:val="00375316"/>
    <w:rsid w:val="003773F4"/>
    <w:rsid w:val="00380F77"/>
    <w:rsid w:val="00382EED"/>
    <w:rsid w:val="0039225B"/>
    <w:rsid w:val="00393FE8"/>
    <w:rsid w:val="003B5225"/>
    <w:rsid w:val="003C158D"/>
    <w:rsid w:val="003C25E3"/>
    <w:rsid w:val="003C30BC"/>
    <w:rsid w:val="003C3730"/>
    <w:rsid w:val="003C7DDD"/>
    <w:rsid w:val="003D6674"/>
    <w:rsid w:val="003E5BD4"/>
    <w:rsid w:val="00421212"/>
    <w:rsid w:val="00440D6B"/>
    <w:rsid w:val="00440FE8"/>
    <w:rsid w:val="00446365"/>
    <w:rsid w:val="0044798A"/>
    <w:rsid w:val="004502AE"/>
    <w:rsid w:val="004526B4"/>
    <w:rsid w:val="00453F3A"/>
    <w:rsid w:val="00456504"/>
    <w:rsid w:val="00461AB4"/>
    <w:rsid w:val="00467328"/>
    <w:rsid w:val="00482DD0"/>
    <w:rsid w:val="00490ABB"/>
    <w:rsid w:val="004A1522"/>
    <w:rsid w:val="004B0EA2"/>
    <w:rsid w:val="004B3017"/>
    <w:rsid w:val="004B36FC"/>
    <w:rsid w:val="004B5BEA"/>
    <w:rsid w:val="004B69C0"/>
    <w:rsid w:val="004D0DF7"/>
    <w:rsid w:val="004E5BCB"/>
    <w:rsid w:val="004F1B8E"/>
    <w:rsid w:val="0050049C"/>
    <w:rsid w:val="00500AE1"/>
    <w:rsid w:val="00500B91"/>
    <w:rsid w:val="0050338C"/>
    <w:rsid w:val="005056D7"/>
    <w:rsid w:val="0051384B"/>
    <w:rsid w:val="005177D1"/>
    <w:rsid w:val="0055048A"/>
    <w:rsid w:val="005548BE"/>
    <w:rsid w:val="005716CC"/>
    <w:rsid w:val="005764E6"/>
    <w:rsid w:val="0058069B"/>
    <w:rsid w:val="00590CEE"/>
    <w:rsid w:val="005A1014"/>
    <w:rsid w:val="005B5BCE"/>
    <w:rsid w:val="005C262E"/>
    <w:rsid w:val="005D050A"/>
    <w:rsid w:val="00606BC9"/>
    <w:rsid w:val="00633223"/>
    <w:rsid w:val="006332F6"/>
    <w:rsid w:val="00640216"/>
    <w:rsid w:val="00644B54"/>
    <w:rsid w:val="00646C58"/>
    <w:rsid w:val="00657A53"/>
    <w:rsid w:val="00657D86"/>
    <w:rsid w:val="0066172B"/>
    <w:rsid w:val="00667BAA"/>
    <w:rsid w:val="00675045"/>
    <w:rsid w:val="00680BAF"/>
    <w:rsid w:val="00682DD4"/>
    <w:rsid w:val="0068392A"/>
    <w:rsid w:val="00683A1D"/>
    <w:rsid w:val="00695563"/>
    <w:rsid w:val="00697DD2"/>
    <w:rsid w:val="006A1A0C"/>
    <w:rsid w:val="006A2561"/>
    <w:rsid w:val="006A2F2C"/>
    <w:rsid w:val="006B589C"/>
    <w:rsid w:val="006C2890"/>
    <w:rsid w:val="006C3B90"/>
    <w:rsid w:val="006C5B52"/>
    <w:rsid w:val="006D3CD2"/>
    <w:rsid w:val="006E09C5"/>
    <w:rsid w:val="006F0829"/>
    <w:rsid w:val="007040BF"/>
    <w:rsid w:val="00710BB3"/>
    <w:rsid w:val="0071130B"/>
    <w:rsid w:val="00712D32"/>
    <w:rsid w:val="00714A47"/>
    <w:rsid w:val="00727726"/>
    <w:rsid w:val="00745CC8"/>
    <w:rsid w:val="00773190"/>
    <w:rsid w:val="007A068D"/>
    <w:rsid w:val="007A185D"/>
    <w:rsid w:val="007B399C"/>
    <w:rsid w:val="007C0BB8"/>
    <w:rsid w:val="007D157D"/>
    <w:rsid w:val="007D4C64"/>
    <w:rsid w:val="007D561D"/>
    <w:rsid w:val="007E0357"/>
    <w:rsid w:val="007E5F20"/>
    <w:rsid w:val="007E6856"/>
    <w:rsid w:val="007F37FF"/>
    <w:rsid w:val="008003FC"/>
    <w:rsid w:val="00801BBA"/>
    <w:rsid w:val="008049F6"/>
    <w:rsid w:val="0080605A"/>
    <w:rsid w:val="00806888"/>
    <w:rsid w:val="00815FCF"/>
    <w:rsid w:val="00817280"/>
    <w:rsid w:val="0082339C"/>
    <w:rsid w:val="00825E47"/>
    <w:rsid w:val="00826C24"/>
    <w:rsid w:val="00827B99"/>
    <w:rsid w:val="00831C04"/>
    <w:rsid w:val="00836B06"/>
    <w:rsid w:val="00843B94"/>
    <w:rsid w:val="00853F33"/>
    <w:rsid w:val="008552C4"/>
    <w:rsid w:val="00857D2D"/>
    <w:rsid w:val="00864196"/>
    <w:rsid w:val="00871D79"/>
    <w:rsid w:val="0088227A"/>
    <w:rsid w:val="0088458C"/>
    <w:rsid w:val="008922E3"/>
    <w:rsid w:val="00892624"/>
    <w:rsid w:val="008C6614"/>
    <w:rsid w:val="008E42DE"/>
    <w:rsid w:val="008E53FD"/>
    <w:rsid w:val="008F710B"/>
    <w:rsid w:val="009034EA"/>
    <w:rsid w:val="00906D65"/>
    <w:rsid w:val="00906EE6"/>
    <w:rsid w:val="00914284"/>
    <w:rsid w:val="00926E5B"/>
    <w:rsid w:val="009346FB"/>
    <w:rsid w:val="00937C97"/>
    <w:rsid w:val="009424CE"/>
    <w:rsid w:val="00946286"/>
    <w:rsid w:val="00961404"/>
    <w:rsid w:val="009614F2"/>
    <w:rsid w:val="00967485"/>
    <w:rsid w:val="009763FF"/>
    <w:rsid w:val="0098699E"/>
    <w:rsid w:val="009909ED"/>
    <w:rsid w:val="00991ABE"/>
    <w:rsid w:val="00995BC9"/>
    <w:rsid w:val="009A0F76"/>
    <w:rsid w:val="009B7287"/>
    <w:rsid w:val="009B766A"/>
    <w:rsid w:val="009C4FFD"/>
    <w:rsid w:val="009D43B7"/>
    <w:rsid w:val="009D5A7B"/>
    <w:rsid w:val="009D7BE0"/>
    <w:rsid w:val="009E242B"/>
    <w:rsid w:val="009E4BEB"/>
    <w:rsid w:val="009F4742"/>
    <w:rsid w:val="009F4ABD"/>
    <w:rsid w:val="009F65D0"/>
    <w:rsid w:val="00A04D12"/>
    <w:rsid w:val="00A10C4A"/>
    <w:rsid w:val="00A11314"/>
    <w:rsid w:val="00A13560"/>
    <w:rsid w:val="00A22EED"/>
    <w:rsid w:val="00A24CB8"/>
    <w:rsid w:val="00A25DB5"/>
    <w:rsid w:val="00A40ACE"/>
    <w:rsid w:val="00A42EF4"/>
    <w:rsid w:val="00A52A23"/>
    <w:rsid w:val="00A70694"/>
    <w:rsid w:val="00A72AB8"/>
    <w:rsid w:val="00A73637"/>
    <w:rsid w:val="00A81416"/>
    <w:rsid w:val="00A834E1"/>
    <w:rsid w:val="00AA0AE4"/>
    <w:rsid w:val="00AB06C9"/>
    <w:rsid w:val="00AB1C00"/>
    <w:rsid w:val="00AB7D64"/>
    <w:rsid w:val="00AC074E"/>
    <w:rsid w:val="00AD2F89"/>
    <w:rsid w:val="00AD4F76"/>
    <w:rsid w:val="00AD5145"/>
    <w:rsid w:val="00AD69F6"/>
    <w:rsid w:val="00AE04B8"/>
    <w:rsid w:val="00AE463D"/>
    <w:rsid w:val="00B05A3A"/>
    <w:rsid w:val="00B14344"/>
    <w:rsid w:val="00B15BA5"/>
    <w:rsid w:val="00B16732"/>
    <w:rsid w:val="00B2626C"/>
    <w:rsid w:val="00B510A4"/>
    <w:rsid w:val="00B56A45"/>
    <w:rsid w:val="00B65B36"/>
    <w:rsid w:val="00B674B0"/>
    <w:rsid w:val="00B83107"/>
    <w:rsid w:val="00B9001D"/>
    <w:rsid w:val="00BB3D26"/>
    <w:rsid w:val="00BC2583"/>
    <w:rsid w:val="00BD0132"/>
    <w:rsid w:val="00BD5A00"/>
    <w:rsid w:val="00BE2D74"/>
    <w:rsid w:val="00BF66E8"/>
    <w:rsid w:val="00C02BAA"/>
    <w:rsid w:val="00C03301"/>
    <w:rsid w:val="00C04ADE"/>
    <w:rsid w:val="00C05F30"/>
    <w:rsid w:val="00C12789"/>
    <w:rsid w:val="00C25F6E"/>
    <w:rsid w:val="00C3158D"/>
    <w:rsid w:val="00C31D39"/>
    <w:rsid w:val="00C50760"/>
    <w:rsid w:val="00C80A1D"/>
    <w:rsid w:val="00C91EC6"/>
    <w:rsid w:val="00C93A55"/>
    <w:rsid w:val="00CA6FB0"/>
    <w:rsid w:val="00CB4540"/>
    <w:rsid w:val="00CB5023"/>
    <w:rsid w:val="00CC2E56"/>
    <w:rsid w:val="00CC2F19"/>
    <w:rsid w:val="00CC410E"/>
    <w:rsid w:val="00CD4F37"/>
    <w:rsid w:val="00CD65F8"/>
    <w:rsid w:val="00CE335D"/>
    <w:rsid w:val="00CE38BA"/>
    <w:rsid w:val="00CE7B50"/>
    <w:rsid w:val="00D11981"/>
    <w:rsid w:val="00D2545D"/>
    <w:rsid w:val="00D37B52"/>
    <w:rsid w:val="00D4546C"/>
    <w:rsid w:val="00D45A26"/>
    <w:rsid w:val="00D53649"/>
    <w:rsid w:val="00D55DC5"/>
    <w:rsid w:val="00D57BB5"/>
    <w:rsid w:val="00D61563"/>
    <w:rsid w:val="00D71E9D"/>
    <w:rsid w:val="00D731C6"/>
    <w:rsid w:val="00D95E28"/>
    <w:rsid w:val="00D95F08"/>
    <w:rsid w:val="00D97567"/>
    <w:rsid w:val="00DB4213"/>
    <w:rsid w:val="00DB7958"/>
    <w:rsid w:val="00DD0F3D"/>
    <w:rsid w:val="00DE1337"/>
    <w:rsid w:val="00DE2A75"/>
    <w:rsid w:val="00DE6448"/>
    <w:rsid w:val="00DF3AE1"/>
    <w:rsid w:val="00DF46B7"/>
    <w:rsid w:val="00E00AE3"/>
    <w:rsid w:val="00E11F28"/>
    <w:rsid w:val="00E16CA7"/>
    <w:rsid w:val="00E2147F"/>
    <w:rsid w:val="00E26C8D"/>
    <w:rsid w:val="00E36C33"/>
    <w:rsid w:val="00E41AAF"/>
    <w:rsid w:val="00E46C30"/>
    <w:rsid w:val="00E55D14"/>
    <w:rsid w:val="00E56185"/>
    <w:rsid w:val="00E63182"/>
    <w:rsid w:val="00E720CC"/>
    <w:rsid w:val="00E72CBF"/>
    <w:rsid w:val="00E92EDE"/>
    <w:rsid w:val="00E93600"/>
    <w:rsid w:val="00E971EF"/>
    <w:rsid w:val="00EB0E0D"/>
    <w:rsid w:val="00EC0E4A"/>
    <w:rsid w:val="00EC21FD"/>
    <w:rsid w:val="00ED4A98"/>
    <w:rsid w:val="00ED588F"/>
    <w:rsid w:val="00EE1EAF"/>
    <w:rsid w:val="00EE49C3"/>
    <w:rsid w:val="00F0106D"/>
    <w:rsid w:val="00F06050"/>
    <w:rsid w:val="00F142F6"/>
    <w:rsid w:val="00F373E0"/>
    <w:rsid w:val="00F40217"/>
    <w:rsid w:val="00F51113"/>
    <w:rsid w:val="00F53D5F"/>
    <w:rsid w:val="00F54E96"/>
    <w:rsid w:val="00F5615C"/>
    <w:rsid w:val="00F56652"/>
    <w:rsid w:val="00F609DE"/>
    <w:rsid w:val="00F70DA0"/>
    <w:rsid w:val="00F71521"/>
    <w:rsid w:val="00F71F93"/>
    <w:rsid w:val="00F73FC9"/>
    <w:rsid w:val="00F74FA3"/>
    <w:rsid w:val="00F8225F"/>
    <w:rsid w:val="00F834FF"/>
    <w:rsid w:val="00F84702"/>
    <w:rsid w:val="00F86831"/>
    <w:rsid w:val="00F9364F"/>
    <w:rsid w:val="00FA1420"/>
    <w:rsid w:val="00FA71E6"/>
    <w:rsid w:val="00FB1D2A"/>
    <w:rsid w:val="00FC222D"/>
    <w:rsid w:val="00FC2F85"/>
    <w:rsid w:val="00FD5279"/>
    <w:rsid w:val="00FE1E2C"/>
    <w:rsid w:val="00FE3295"/>
    <w:rsid w:val="00FE5913"/>
    <w:rsid w:val="00FE649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F6"/>
  </w:style>
  <w:style w:type="paragraph" w:styleId="Heading1">
    <w:name w:val="heading 1"/>
    <w:basedOn w:val="Normal"/>
    <w:next w:val="Normal"/>
    <w:link w:val="Heading1Char"/>
    <w:uiPriority w:val="9"/>
    <w:qFormat/>
    <w:rsid w:val="00633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C6CC4"/>
    <w:pPr>
      <w:spacing w:before="600" w:after="300" w:line="288" w:lineRule="atLeast"/>
      <w:outlineLvl w:val="2"/>
    </w:pPr>
    <w:rPr>
      <w:rFonts w:ascii="Times New Roman" w:eastAsia="Times New Roman" w:hAnsi="Times New Roman" w:cs="Times New Roman"/>
      <w:b/>
      <w:bCs/>
      <w:color w:val="666666"/>
      <w:sz w:val="34"/>
      <w:szCs w:val="3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F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332F6"/>
    <w:rPr>
      <w:b/>
      <w:bCs/>
    </w:rPr>
  </w:style>
  <w:style w:type="paragraph" w:styleId="NormalWeb">
    <w:name w:val="Normal (Web)"/>
    <w:basedOn w:val="Normal"/>
    <w:uiPriority w:val="99"/>
    <w:unhideWhenUsed/>
    <w:rsid w:val="006332F6"/>
    <w:pPr>
      <w:spacing w:before="144" w:after="288"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332F6"/>
    <w:rPr>
      <w:strike w:val="0"/>
      <w:dstrike w:val="0"/>
      <w:color w:val="7C0F0F"/>
      <w:u w:val="none"/>
      <w:effect w:val="none"/>
    </w:rPr>
  </w:style>
  <w:style w:type="table" w:styleId="TableGrid">
    <w:name w:val="Table Grid"/>
    <w:basedOn w:val="TableNormal"/>
    <w:uiPriority w:val="59"/>
    <w:rsid w:val="0063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AE4"/>
    <w:rPr>
      <w:sz w:val="16"/>
      <w:szCs w:val="16"/>
    </w:rPr>
  </w:style>
  <w:style w:type="paragraph" w:styleId="CommentText">
    <w:name w:val="annotation text"/>
    <w:basedOn w:val="Normal"/>
    <w:link w:val="CommentTextChar"/>
    <w:uiPriority w:val="99"/>
    <w:semiHidden/>
    <w:unhideWhenUsed/>
    <w:rsid w:val="00AA0AE4"/>
    <w:pPr>
      <w:spacing w:line="240" w:lineRule="auto"/>
    </w:pPr>
    <w:rPr>
      <w:sz w:val="20"/>
      <w:szCs w:val="20"/>
    </w:rPr>
  </w:style>
  <w:style w:type="character" w:customStyle="1" w:styleId="CommentTextChar">
    <w:name w:val="Comment Text Char"/>
    <w:basedOn w:val="DefaultParagraphFont"/>
    <w:link w:val="CommentText"/>
    <w:uiPriority w:val="99"/>
    <w:semiHidden/>
    <w:rsid w:val="00AA0AE4"/>
    <w:rPr>
      <w:sz w:val="20"/>
      <w:szCs w:val="20"/>
    </w:rPr>
  </w:style>
  <w:style w:type="paragraph" w:styleId="CommentSubject">
    <w:name w:val="annotation subject"/>
    <w:basedOn w:val="CommentText"/>
    <w:next w:val="CommentText"/>
    <w:link w:val="CommentSubjectChar"/>
    <w:uiPriority w:val="99"/>
    <w:semiHidden/>
    <w:unhideWhenUsed/>
    <w:rsid w:val="00AA0AE4"/>
    <w:rPr>
      <w:b/>
      <w:bCs/>
    </w:rPr>
  </w:style>
  <w:style w:type="character" w:customStyle="1" w:styleId="CommentSubjectChar">
    <w:name w:val="Comment Subject Char"/>
    <w:basedOn w:val="CommentTextChar"/>
    <w:link w:val="CommentSubject"/>
    <w:uiPriority w:val="99"/>
    <w:semiHidden/>
    <w:rsid w:val="00AA0AE4"/>
    <w:rPr>
      <w:b/>
      <w:bCs/>
      <w:sz w:val="20"/>
      <w:szCs w:val="20"/>
    </w:rPr>
  </w:style>
  <w:style w:type="paragraph" w:styleId="BalloonText">
    <w:name w:val="Balloon Text"/>
    <w:basedOn w:val="Normal"/>
    <w:link w:val="BalloonTextChar"/>
    <w:uiPriority w:val="99"/>
    <w:semiHidden/>
    <w:unhideWhenUsed/>
    <w:rsid w:val="00AA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E4"/>
    <w:rPr>
      <w:rFonts w:ascii="Tahoma" w:hAnsi="Tahoma" w:cs="Tahoma"/>
      <w:sz w:val="16"/>
      <w:szCs w:val="16"/>
    </w:rPr>
  </w:style>
  <w:style w:type="character" w:customStyle="1" w:styleId="nolink">
    <w:name w:val="nolink"/>
    <w:basedOn w:val="DefaultParagraphFont"/>
    <w:rsid w:val="00A834E1"/>
  </w:style>
  <w:style w:type="character" w:customStyle="1" w:styleId="Heading3Char">
    <w:name w:val="Heading 3 Char"/>
    <w:basedOn w:val="DefaultParagraphFont"/>
    <w:link w:val="Heading3"/>
    <w:uiPriority w:val="9"/>
    <w:rsid w:val="000C6CC4"/>
    <w:rPr>
      <w:rFonts w:ascii="Times New Roman" w:eastAsia="Times New Roman" w:hAnsi="Times New Roman" w:cs="Times New Roman"/>
      <w:b/>
      <w:bCs/>
      <w:color w:val="666666"/>
      <w:sz w:val="34"/>
      <w:szCs w:val="34"/>
      <w:lang w:eastAsia="lv-LV"/>
    </w:rPr>
  </w:style>
  <w:style w:type="character" w:customStyle="1" w:styleId="mceitemanchor">
    <w:name w:val="mceitemanchor"/>
    <w:basedOn w:val="DefaultParagraphFont"/>
    <w:rsid w:val="000C6CC4"/>
    <w:rPr>
      <w:spacing w:val="0"/>
      <w:sz w:val="2"/>
      <w:szCs w:val="2"/>
      <w:bdr w:val="dashed" w:sz="6" w:space="0" w:color="B4D4FF"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F6"/>
  </w:style>
  <w:style w:type="paragraph" w:styleId="Heading1">
    <w:name w:val="heading 1"/>
    <w:basedOn w:val="Normal"/>
    <w:next w:val="Normal"/>
    <w:link w:val="Heading1Char"/>
    <w:uiPriority w:val="9"/>
    <w:qFormat/>
    <w:rsid w:val="00633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C6CC4"/>
    <w:pPr>
      <w:spacing w:before="600" w:after="300" w:line="288" w:lineRule="atLeast"/>
      <w:outlineLvl w:val="2"/>
    </w:pPr>
    <w:rPr>
      <w:rFonts w:ascii="Times New Roman" w:eastAsia="Times New Roman" w:hAnsi="Times New Roman" w:cs="Times New Roman"/>
      <w:b/>
      <w:bCs/>
      <w:color w:val="666666"/>
      <w:sz w:val="34"/>
      <w:szCs w:val="3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F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332F6"/>
    <w:rPr>
      <w:b/>
      <w:bCs/>
    </w:rPr>
  </w:style>
  <w:style w:type="paragraph" w:styleId="NormalWeb">
    <w:name w:val="Normal (Web)"/>
    <w:basedOn w:val="Normal"/>
    <w:uiPriority w:val="99"/>
    <w:unhideWhenUsed/>
    <w:rsid w:val="006332F6"/>
    <w:pPr>
      <w:spacing w:before="144" w:after="288"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332F6"/>
    <w:rPr>
      <w:strike w:val="0"/>
      <w:dstrike w:val="0"/>
      <w:color w:val="7C0F0F"/>
      <w:u w:val="none"/>
      <w:effect w:val="none"/>
    </w:rPr>
  </w:style>
  <w:style w:type="table" w:styleId="TableGrid">
    <w:name w:val="Table Grid"/>
    <w:basedOn w:val="TableNormal"/>
    <w:uiPriority w:val="59"/>
    <w:rsid w:val="0063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AE4"/>
    <w:rPr>
      <w:sz w:val="16"/>
      <w:szCs w:val="16"/>
    </w:rPr>
  </w:style>
  <w:style w:type="paragraph" w:styleId="CommentText">
    <w:name w:val="annotation text"/>
    <w:basedOn w:val="Normal"/>
    <w:link w:val="CommentTextChar"/>
    <w:uiPriority w:val="99"/>
    <w:semiHidden/>
    <w:unhideWhenUsed/>
    <w:rsid w:val="00AA0AE4"/>
    <w:pPr>
      <w:spacing w:line="240" w:lineRule="auto"/>
    </w:pPr>
    <w:rPr>
      <w:sz w:val="20"/>
      <w:szCs w:val="20"/>
    </w:rPr>
  </w:style>
  <w:style w:type="character" w:customStyle="1" w:styleId="CommentTextChar">
    <w:name w:val="Comment Text Char"/>
    <w:basedOn w:val="DefaultParagraphFont"/>
    <w:link w:val="CommentText"/>
    <w:uiPriority w:val="99"/>
    <w:semiHidden/>
    <w:rsid w:val="00AA0AE4"/>
    <w:rPr>
      <w:sz w:val="20"/>
      <w:szCs w:val="20"/>
    </w:rPr>
  </w:style>
  <w:style w:type="paragraph" w:styleId="CommentSubject">
    <w:name w:val="annotation subject"/>
    <w:basedOn w:val="CommentText"/>
    <w:next w:val="CommentText"/>
    <w:link w:val="CommentSubjectChar"/>
    <w:uiPriority w:val="99"/>
    <w:semiHidden/>
    <w:unhideWhenUsed/>
    <w:rsid w:val="00AA0AE4"/>
    <w:rPr>
      <w:b/>
      <w:bCs/>
    </w:rPr>
  </w:style>
  <w:style w:type="character" w:customStyle="1" w:styleId="CommentSubjectChar">
    <w:name w:val="Comment Subject Char"/>
    <w:basedOn w:val="CommentTextChar"/>
    <w:link w:val="CommentSubject"/>
    <w:uiPriority w:val="99"/>
    <w:semiHidden/>
    <w:rsid w:val="00AA0AE4"/>
    <w:rPr>
      <w:b/>
      <w:bCs/>
      <w:sz w:val="20"/>
      <w:szCs w:val="20"/>
    </w:rPr>
  </w:style>
  <w:style w:type="paragraph" w:styleId="BalloonText">
    <w:name w:val="Balloon Text"/>
    <w:basedOn w:val="Normal"/>
    <w:link w:val="BalloonTextChar"/>
    <w:uiPriority w:val="99"/>
    <w:semiHidden/>
    <w:unhideWhenUsed/>
    <w:rsid w:val="00AA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E4"/>
    <w:rPr>
      <w:rFonts w:ascii="Tahoma" w:hAnsi="Tahoma" w:cs="Tahoma"/>
      <w:sz w:val="16"/>
      <w:szCs w:val="16"/>
    </w:rPr>
  </w:style>
  <w:style w:type="character" w:customStyle="1" w:styleId="nolink">
    <w:name w:val="nolink"/>
    <w:basedOn w:val="DefaultParagraphFont"/>
    <w:rsid w:val="00A834E1"/>
  </w:style>
  <w:style w:type="character" w:customStyle="1" w:styleId="Heading3Char">
    <w:name w:val="Heading 3 Char"/>
    <w:basedOn w:val="DefaultParagraphFont"/>
    <w:link w:val="Heading3"/>
    <w:uiPriority w:val="9"/>
    <w:rsid w:val="000C6CC4"/>
    <w:rPr>
      <w:rFonts w:ascii="Times New Roman" w:eastAsia="Times New Roman" w:hAnsi="Times New Roman" w:cs="Times New Roman"/>
      <w:b/>
      <w:bCs/>
      <w:color w:val="666666"/>
      <w:sz w:val="34"/>
      <w:szCs w:val="34"/>
      <w:lang w:eastAsia="lv-LV"/>
    </w:rPr>
  </w:style>
  <w:style w:type="character" w:customStyle="1" w:styleId="mceitemanchor">
    <w:name w:val="mceitemanchor"/>
    <w:basedOn w:val="DefaultParagraphFont"/>
    <w:rsid w:val="000C6CC4"/>
    <w:rPr>
      <w:spacing w:val="0"/>
      <w:sz w:val="2"/>
      <w:szCs w:val="2"/>
      <w:bdr w:val="dashed" w:sz="6" w:space="0" w:color="B4D4FF"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0631">
      <w:bodyDiv w:val="1"/>
      <w:marLeft w:val="0"/>
      <w:marRight w:val="0"/>
      <w:marTop w:val="0"/>
      <w:marBottom w:val="0"/>
      <w:divBdr>
        <w:top w:val="none" w:sz="0" w:space="0" w:color="auto"/>
        <w:left w:val="none" w:sz="0" w:space="0" w:color="auto"/>
        <w:bottom w:val="none" w:sz="0" w:space="0" w:color="auto"/>
        <w:right w:val="none" w:sz="0" w:space="0" w:color="auto"/>
      </w:divBdr>
      <w:divsChild>
        <w:div w:id="1864587274">
          <w:marLeft w:val="0"/>
          <w:marRight w:val="0"/>
          <w:marTop w:val="0"/>
          <w:marBottom w:val="0"/>
          <w:divBdr>
            <w:top w:val="none" w:sz="0" w:space="0" w:color="auto"/>
            <w:left w:val="none" w:sz="0" w:space="0" w:color="auto"/>
            <w:bottom w:val="none" w:sz="0" w:space="0" w:color="auto"/>
            <w:right w:val="none" w:sz="0" w:space="0" w:color="auto"/>
          </w:divBdr>
          <w:divsChild>
            <w:div w:id="1844511320">
              <w:marLeft w:val="0"/>
              <w:marRight w:val="0"/>
              <w:marTop w:val="0"/>
              <w:marBottom w:val="0"/>
              <w:divBdr>
                <w:top w:val="none" w:sz="0" w:space="0" w:color="auto"/>
                <w:left w:val="none" w:sz="0" w:space="0" w:color="auto"/>
                <w:bottom w:val="none" w:sz="0" w:space="0" w:color="auto"/>
                <w:right w:val="none" w:sz="0" w:space="0" w:color="auto"/>
              </w:divBdr>
              <w:divsChild>
                <w:div w:id="1641184901">
                  <w:marLeft w:val="0"/>
                  <w:marRight w:val="-4875"/>
                  <w:marTop w:val="0"/>
                  <w:marBottom w:val="0"/>
                  <w:divBdr>
                    <w:top w:val="none" w:sz="0" w:space="0" w:color="auto"/>
                    <w:left w:val="none" w:sz="0" w:space="0" w:color="auto"/>
                    <w:bottom w:val="none" w:sz="0" w:space="0" w:color="auto"/>
                    <w:right w:val="none" w:sz="0" w:space="0" w:color="auto"/>
                  </w:divBdr>
                  <w:divsChild>
                    <w:div w:id="423306472">
                      <w:marLeft w:val="0"/>
                      <w:marRight w:val="0"/>
                      <w:marTop w:val="0"/>
                      <w:marBottom w:val="0"/>
                      <w:divBdr>
                        <w:top w:val="none" w:sz="0" w:space="0" w:color="auto"/>
                        <w:left w:val="none" w:sz="0" w:space="0" w:color="auto"/>
                        <w:bottom w:val="none" w:sz="0" w:space="0" w:color="auto"/>
                        <w:right w:val="none" w:sz="0" w:space="0" w:color="auto"/>
                      </w:divBdr>
                      <w:divsChild>
                        <w:div w:id="306983937">
                          <w:marLeft w:val="0"/>
                          <w:marRight w:val="0"/>
                          <w:marTop w:val="0"/>
                          <w:marBottom w:val="0"/>
                          <w:divBdr>
                            <w:top w:val="none" w:sz="0" w:space="0" w:color="auto"/>
                            <w:left w:val="none" w:sz="0" w:space="0" w:color="auto"/>
                            <w:bottom w:val="none" w:sz="0" w:space="0" w:color="auto"/>
                            <w:right w:val="none" w:sz="0" w:space="0" w:color="auto"/>
                          </w:divBdr>
                          <w:divsChild>
                            <w:div w:id="1245147575">
                              <w:marLeft w:val="0"/>
                              <w:marRight w:val="0"/>
                              <w:marTop w:val="0"/>
                              <w:marBottom w:val="0"/>
                              <w:divBdr>
                                <w:top w:val="none" w:sz="0" w:space="0" w:color="auto"/>
                                <w:left w:val="none" w:sz="0" w:space="0" w:color="auto"/>
                                <w:bottom w:val="none" w:sz="0" w:space="0" w:color="auto"/>
                                <w:right w:val="none" w:sz="0" w:space="0" w:color="auto"/>
                              </w:divBdr>
                              <w:divsChild>
                                <w:div w:id="3054744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5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home-affairs/what-we-do/policies/borders-and-visas/schengen/index_en.htm" TargetMode="External"/><Relationship Id="rId13" Type="http://schemas.openxmlformats.org/officeDocument/2006/relationships/hyperlink" Target="https://epak.pmlp.gov.lv/NVIS.EService001.WebSite/?NewLang=ENG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a.gov.lv/en/consular-information/countries-whose-citizens-may-enter-latvia-without-a-visa" TargetMode="External"/><Relationship Id="rId12" Type="http://schemas.openxmlformats.org/officeDocument/2006/relationships/hyperlink" Target="http://www.mfa.gov.lv/en/consular-information/entry-into-latvia/frequently-asked-questions" TargetMode="External"/><Relationship Id="rId17" Type="http://schemas.openxmlformats.org/officeDocument/2006/relationships/hyperlink" Target="http://www.mfa.gov.lv/en/consular-information/entry-into-latvia/know-before-you-go" TargetMode="External"/><Relationship Id="rId2" Type="http://schemas.openxmlformats.org/officeDocument/2006/relationships/styles" Target="styles.xml"/><Relationship Id="rId16" Type="http://schemas.openxmlformats.org/officeDocument/2006/relationships/hyperlink" Target="http://www.latvia.travel/en/article/travelling-latvia-visas-customs-procedures" TargetMode="External"/><Relationship Id="rId1" Type="http://schemas.openxmlformats.org/officeDocument/2006/relationships/numbering" Target="numbering.xml"/><Relationship Id="rId6" Type="http://schemas.openxmlformats.org/officeDocument/2006/relationships/hyperlink" Target="http://ec.europa.eu/dgs/home-affairs/what-we-do/policies/borders-and-visas/schengen/index_en.htm" TargetMode="External"/><Relationship Id="rId11" Type="http://schemas.openxmlformats.org/officeDocument/2006/relationships/hyperlink" Target="http://ec.europa.eu/dgs/home-affairs/what-we-do/policies/borders-and-visas/schengen/index_en.htm" TargetMode="External"/><Relationship Id="rId5" Type="http://schemas.openxmlformats.org/officeDocument/2006/relationships/webSettings" Target="webSettings.xml"/><Relationship Id="rId15" Type="http://schemas.openxmlformats.org/officeDocument/2006/relationships/hyperlink" Target="http://www.mfa.gov.lv/en/consular-information/obtaining-visas" TargetMode="External"/><Relationship Id="rId10" Type="http://schemas.openxmlformats.org/officeDocument/2006/relationships/hyperlink" Target="http://ec.europa.eu/dgs/home-affairs/what-we-do/policies/borders-and-visas/schengen/index_e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a.gov.lv/en/consular-information/countries-whose-citizens-may-enter-latvia-without-a-visa"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3985</Words>
  <Characters>2273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Lobzova</dc:creator>
  <cp:lastModifiedBy>Liene Lobzova</cp:lastModifiedBy>
  <cp:revision>34</cp:revision>
  <dcterms:created xsi:type="dcterms:W3CDTF">2016-01-13T10:19:00Z</dcterms:created>
  <dcterms:modified xsi:type="dcterms:W3CDTF">2016-03-24T07:41:00Z</dcterms:modified>
</cp:coreProperties>
</file>